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017607" w:rsidRDefault="00527050" w:rsidP="00453B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</w:t>
      </w:r>
      <w:r w:rsidR="00453BD6">
        <w:rPr>
          <w:rFonts w:ascii="Times New Roman" w:hAnsi="Times New Roman"/>
          <w:b/>
          <w:sz w:val="24"/>
          <w:szCs w:val="24"/>
        </w:rPr>
        <w:t>проектов «Родители и педагоги детей с ОВЗ – одна команда»</w:t>
      </w:r>
    </w:p>
    <w:p w:rsidR="00527050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</w:t>
      </w:r>
      <w:r w:rsidR="00453BD6">
        <w:rPr>
          <w:sz w:val="24"/>
          <w:szCs w:val="24"/>
        </w:rPr>
        <w:t xml:space="preserve"> </w:t>
      </w:r>
      <w:r w:rsidR="00453BD6" w:rsidRPr="00453BD6">
        <w:rPr>
          <w:sz w:val="24"/>
          <w:szCs w:val="24"/>
        </w:rPr>
        <w:t>проектов «Родители и педагоги детей с ОВЗ – одна команда»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="00453BD6">
        <w:rPr>
          <w:sz w:val="24"/>
          <w:szCs w:val="24"/>
        </w:rPr>
        <w:t xml:space="preserve"> и их родителями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Педагогический проект - </w:t>
      </w:r>
      <w:r w:rsidRPr="00453BD6">
        <w:rPr>
          <w:sz w:val="24"/>
          <w:szCs w:val="24"/>
        </w:rPr>
        <w:t xml:space="preserve">участвуют реализованные или планируемые к реализации педагогические проекты. Они могут быть представлены на конкурс от автора или проектной группы. Главный критерий в том, чтобы проект объединял и консолидировал усилия </w:t>
      </w:r>
      <w:r>
        <w:rPr>
          <w:sz w:val="24"/>
          <w:szCs w:val="24"/>
        </w:rPr>
        <w:t>педагогов и родителей</w:t>
      </w:r>
      <w:r w:rsidRPr="00453BD6">
        <w:rPr>
          <w:sz w:val="24"/>
          <w:szCs w:val="24"/>
        </w:rPr>
        <w:t>. Структура конкурсных работ должна раскрывать: важность и целесообразность реализации проекта, проблематику, цели, задачи, роль и действия участников проекта, а также сроки, оценку условий и ресурсов, желаемый результат.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2. Методическая разработка – </w:t>
      </w:r>
      <w:r w:rsidRPr="00453BD6">
        <w:rPr>
          <w:sz w:val="24"/>
          <w:szCs w:val="24"/>
        </w:rPr>
        <w:t>это виды любых учебных пособий, раскрывающих формы, средства, методы обучения, элементы современных педагогических технологий или сами технологии обучения и воспитания</w:t>
      </w:r>
      <w:r>
        <w:rPr>
          <w:sz w:val="24"/>
          <w:szCs w:val="24"/>
        </w:rPr>
        <w:t xml:space="preserve"> детей с ОВЗ в сотрудничестве с родителями</w:t>
      </w:r>
      <w:r w:rsidRPr="00453BD6">
        <w:rPr>
          <w:sz w:val="24"/>
          <w:szCs w:val="24"/>
        </w:rPr>
        <w:t>. Методическая разработка может быть авторской, которая основывается на личном опыте педагога, а также «комбинаторной», которая обобщает опыт свой, а также опыт других людей, решающих ту же методологическую задачу применительно к конкретной теме урока, теме учебной программы, преподаванию курса в целом.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3. Открытый урок, внешкольное мероприятие - </w:t>
      </w:r>
      <w:r w:rsidRPr="00453BD6">
        <w:rPr>
          <w:sz w:val="24"/>
          <w:szCs w:val="24"/>
        </w:rPr>
        <w:t>работы, представленные в виде сценариев, с описанием формы организации учебно-воспитательного процесса, ограниченной определенными рамками времени, в контексте проведения педагогом урока или внешкольного мероприятия. В этой структуре должны отражаться все основные компоненты учебно-воспитательного процесса: цель, задачи, содержание, формы, методы, средства, взаимосвязанная деятельность учителя и ученика.</w:t>
      </w:r>
      <w:r>
        <w:rPr>
          <w:sz w:val="24"/>
          <w:szCs w:val="24"/>
        </w:rPr>
        <w:t xml:space="preserve"> В структуре следует отразить совместную деятельность педагога и родителей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9933DA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4. Авторская статья – </w:t>
      </w:r>
      <w:r w:rsidRPr="00453BD6">
        <w:rPr>
          <w:sz w:val="24"/>
          <w:szCs w:val="24"/>
        </w:rPr>
        <w:t xml:space="preserve">научно-публицистические статьи, доклады, посвященные изучению </w:t>
      </w:r>
      <w:r>
        <w:rPr>
          <w:sz w:val="24"/>
          <w:szCs w:val="24"/>
        </w:rPr>
        <w:t xml:space="preserve"> </w:t>
      </w:r>
      <w:r w:rsidRPr="00453BD6">
        <w:rPr>
          <w:sz w:val="24"/>
          <w:szCs w:val="24"/>
        </w:rPr>
        <w:t xml:space="preserve"> проблемы </w:t>
      </w:r>
      <w:r>
        <w:rPr>
          <w:sz w:val="24"/>
          <w:szCs w:val="24"/>
        </w:rPr>
        <w:t xml:space="preserve">совместной работы педагогов и родителей детей с ОВЗ </w:t>
      </w:r>
      <w:r w:rsidRPr="00453BD6">
        <w:rPr>
          <w:sz w:val="24"/>
          <w:szCs w:val="24"/>
        </w:rPr>
        <w:t xml:space="preserve">с намеченными путями ее решения. Статья должна содержать: описание проблемы и ее актуальность для теории и практики, краткие данные о методике исследования, анализ собственных научных результатов и их обобщение, а также выводы и предложения по проведению исследовательской деятельности в дальнейшем, ссылки на цитируемую литературу. </w:t>
      </w: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ED2A4A" w:rsidRPr="00ED2A4A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="00ED2A4A" w:rsidRPr="00ED2A4A">
        <w:rPr>
          <w:sz w:val="24"/>
          <w:szCs w:val="24"/>
        </w:rPr>
        <w:t>Задачами конкурса являются: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выявление и распространение эффективного педагогического опыта в обучении и воспитании детей с ограниченными возможностями здоровья и детей с инвалидностью</w:t>
      </w:r>
      <w:r w:rsidR="00453BD6">
        <w:rPr>
          <w:sz w:val="24"/>
          <w:szCs w:val="24"/>
        </w:rPr>
        <w:t xml:space="preserve"> </w:t>
      </w:r>
      <w:proofErr w:type="gramStart"/>
      <w:r w:rsidR="00453BD6">
        <w:rPr>
          <w:sz w:val="24"/>
          <w:szCs w:val="24"/>
        </w:rPr>
        <w:t>в</w:t>
      </w:r>
      <w:proofErr w:type="gramEnd"/>
      <w:r w:rsidR="00453BD6">
        <w:rPr>
          <w:sz w:val="24"/>
          <w:szCs w:val="24"/>
        </w:rPr>
        <w:t xml:space="preserve"> совместной деятельности  с родителями</w:t>
      </w:r>
      <w:r w:rsidRPr="00ED2A4A">
        <w:rPr>
          <w:sz w:val="24"/>
          <w:szCs w:val="24"/>
        </w:rPr>
        <w:t xml:space="preserve">.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развитие инновационной и экспериментальной деятельности педагогических работников в процессе подготовки методических разработок и внедрения  образовательных технологий в  процесс обучения и воспитания.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профессиональных компетенций педагогов по видам </w:t>
      </w:r>
      <w:proofErr w:type="gramStart"/>
      <w:r w:rsidRPr="00ED2A4A">
        <w:rPr>
          <w:sz w:val="24"/>
          <w:szCs w:val="24"/>
        </w:rPr>
        <w:t>профессиональной</w:t>
      </w:r>
      <w:proofErr w:type="gramEnd"/>
      <w:r w:rsidRPr="00ED2A4A">
        <w:rPr>
          <w:sz w:val="24"/>
          <w:szCs w:val="24"/>
        </w:rPr>
        <w:t xml:space="preserve"> деятельности в соответствии с требованиями профессионального стандарта. 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творческого потенциала и исследовательских способностей педагогов, повышение их профессиональной компетентности и квалификации. </w:t>
      </w:r>
    </w:p>
    <w:p w:rsid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содействие развитию  рефлексивного мышления, рефлексивной культуры педагога.</w:t>
      </w:r>
    </w:p>
    <w:p w:rsidR="00453BD6" w:rsidRDefault="00453BD6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</w:t>
      </w:r>
      <w:r>
        <w:rPr>
          <w:sz w:val="24"/>
          <w:szCs w:val="24"/>
        </w:rPr>
        <w:t xml:space="preserve">доступных </w:t>
      </w:r>
      <w:r w:rsidRPr="00ED2A4A">
        <w:rPr>
          <w:sz w:val="24"/>
          <w:szCs w:val="24"/>
        </w:rPr>
        <w:t xml:space="preserve">профессиональных компетенций </w:t>
      </w:r>
      <w:r>
        <w:rPr>
          <w:sz w:val="24"/>
          <w:szCs w:val="24"/>
        </w:rPr>
        <w:t>родителей</w:t>
      </w:r>
    </w:p>
    <w:p w:rsidR="00AB51D0" w:rsidRPr="00686594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3</w:t>
      </w:r>
      <w:r w:rsidR="00686594"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</w:t>
      </w:r>
      <w:r w:rsidR="00ED2A4A">
        <w:rPr>
          <w:sz w:val="24"/>
          <w:szCs w:val="24"/>
        </w:rPr>
        <w:t>; студенты, родители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>Экспертная комиссия</w:t>
      </w:r>
      <w:proofErr w:type="gramStart"/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)</w:t>
      </w:r>
      <w:proofErr w:type="gramEnd"/>
      <w:r w:rsidRPr="00686594">
        <w:rPr>
          <w:sz w:val="24"/>
          <w:szCs w:val="24"/>
        </w:rPr>
        <w:t xml:space="preserve">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</w:t>
      </w:r>
      <w:proofErr w:type="gramStart"/>
      <w:r w:rsidR="005D17B2" w:rsidRPr="00686594">
        <w:rPr>
          <w:sz w:val="24"/>
          <w:szCs w:val="24"/>
        </w:rPr>
        <w:t>Экспертная</w:t>
      </w:r>
      <w:proofErr w:type="gramEnd"/>
      <w:r w:rsidR="005D17B2" w:rsidRPr="00686594">
        <w:rPr>
          <w:sz w:val="24"/>
          <w:szCs w:val="24"/>
        </w:rPr>
        <w:t xml:space="preserve">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lastRenderedPageBreak/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5D442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ED7546" w:rsidRPr="005D442C">
        <w:rPr>
          <w:sz w:val="24"/>
          <w:szCs w:val="24"/>
        </w:rPr>
        <w:t>1</w:t>
      </w:r>
      <w:r w:rsidR="00B544CF" w:rsidRPr="005D442C">
        <w:rPr>
          <w:sz w:val="24"/>
          <w:szCs w:val="24"/>
        </w:rPr>
        <w:t>0</w:t>
      </w:r>
      <w:r w:rsidR="00607B0C" w:rsidRPr="005D442C">
        <w:rPr>
          <w:sz w:val="24"/>
          <w:szCs w:val="24"/>
        </w:rPr>
        <w:t xml:space="preserve"> </w:t>
      </w:r>
      <w:r w:rsidR="00453BD6" w:rsidRPr="005D442C">
        <w:rPr>
          <w:sz w:val="24"/>
          <w:szCs w:val="24"/>
        </w:rPr>
        <w:t>мая по 10 июня</w:t>
      </w:r>
      <w:r w:rsidR="006F306C" w:rsidRPr="005D442C">
        <w:rPr>
          <w:sz w:val="24"/>
          <w:szCs w:val="24"/>
        </w:rPr>
        <w:t xml:space="preserve"> </w:t>
      </w:r>
      <w:r w:rsidR="0077261B" w:rsidRPr="005D442C">
        <w:rPr>
          <w:sz w:val="24"/>
          <w:szCs w:val="24"/>
        </w:rPr>
        <w:t>201</w:t>
      </w:r>
      <w:r w:rsidR="00ED2A4A" w:rsidRPr="005D442C">
        <w:rPr>
          <w:sz w:val="24"/>
          <w:szCs w:val="24"/>
        </w:rPr>
        <w:t>9</w:t>
      </w:r>
      <w:r w:rsidR="006F306C" w:rsidRPr="005D442C">
        <w:rPr>
          <w:sz w:val="24"/>
          <w:szCs w:val="24"/>
        </w:rPr>
        <w:t xml:space="preserve"> года</w:t>
      </w:r>
      <w:r w:rsidRPr="005D442C">
        <w:rPr>
          <w:sz w:val="24"/>
          <w:szCs w:val="24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5D442C">
        <w:rPr>
          <w:sz w:val="24"/>
          <w:szCs w:val="24"/>
        </w:rPr>
        <w:lastRenderedPageBreak/>
        <w:t>8.2.</w:t>
      </w:r>
      <w:r w:rsidRPr="005D442C">
        <w:rPr>
          <w:sz w:val="24"/>
          <w:szCs w:val="24"/>
        </w:rPr>
        <w:tab/>
      </w:r>
      <w:r w:rsidRPr="005D442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5D442C">
        <w:rPr>
          <w:sz w:val="24"/>
          <w:szCs w:val="24"/>
        </w:rPr>
        <w:t xml:space="preserve"> </w:t>
      </w:r>
      <w:r w:rsidR="00607B0C" w:rsidRPr="005D442C">
        <w:rPr>
          <w:b/>
          <w:sz w:val="24"/>
          <w:szCs w:val="24"/>
        </w:rPr>
        <w:t xml:space="preserve">по </w:t>
      </w:r>
      <w:r w:rsidR="00453BD6" w:rsidRPr="005D442C">
        <w:rPr>
          <w:b/>
          <w:sz w:val="24"/>
          <w:szCs w:val="24"/>
        </w:rPr>
        <w:t>5 июня</w:t>
      </w:r>
      <w:r w:rsidR="00B544CF" w:rsidRPr="005D442C">
        <w:rPr>
          <w:b/>
          <w:sz w:val="24"/>
          <w:szCs w:val="24"/>
        </w:rPr>
        <w:t xml:space="preserve"> </w:t>
      </w:r>
      <w:r w:rsidR="0077261B" w:rsidRPr="005D442C">
        <w:rPr>
          <w:b/>
          <w:sz w:val="24"/>
          <w:szCs w:val="24"/>
        </w:rPr>
        <w:t>201</w:t>
      </w:r>
      <w:r w:rsidR="00453BD6" w:rsidRPr="005D442C">
        <w:rPr>
          <w:b/>
          <w:sz w:val="24"/>
          <w:szCs w:val="24"/>
        </w:rPr>
        <w:t>9</w:t>
      </w:r>
      <w:r w:rsidR="006F306C" w:rsidRPr="005D442C">
        <w:rPr>
          <w:sz w:val="24"/>
          <w:szCs w:val="24"/>
        </w:rPr>
        <w:t xml:space="preserve"> г.</w:t>
      </w:r>
      <w:r w:rsidR="006C5BFB" w:rsidRPr="005D442C">
        <w:rPr>
          <w:sz w:val="24"/>
          <w:szCs w:val="24"/>
        </w:rPr>
        <w:t xml:space="preserve"> по адресу </w:t>
      </w:r>
      <w:r w:rsidR="006C5BFB" w:rsidRPr="005D442C">
        <w:rPr>
          <w:b/>
          <w:sz w:val="24"/>
          <w:szCs w:val="24"/>
          <w:lang w:val="en-US"/>
        </w:rPr>
        <w:t>info</w:t>
      </w:r>
      <w:r w:rsidR="006C5BFB" w:rsidRPr="005D442C">
        <w:rPr>
          <w:b/>
          <w:sz w:val="24"/>
          <w:szCs w:val="24"/>
        </w:rPr>
        <w:t>-</w:t>
      </w:r>
      <w:proofErr w:type="spellStart"/>
      <w:r w:rsidR="006C5BFB" w:rsidRPr="005D442C">
        <w:rPr>
          <w:b/>
          <w:sz w:val="24"/>
          <w:szCs w:val="24"/>
          <w:lang w:val="en-US"/>
        </w:rPr>
        <w:t>defectolog</w:t>
      </w:r>
      <w:proofErr w:type="spellEnd"/>
      <w:r w:rsidR="006C5BFB" w:rsidRPr="005D442C">
        <w:rPr>
          <w:b/>
          <w:sz w:val="24"/>
          <w:szCs w:val="24"/>
        </w:rPr>
        <w:t>@</w:t>
      </w:r>
      <w:proofErr w:type="spellStart"/>
      <w:r w:rsidR="006C5BFB" w:rsidRPr="005D442C">
        <w:rPr>
          <w:b/>
          <w:sz w:val="24"/>
          <w:szCs w:val="24"/>
          <w:lang w:val="en-US"/>
        </w:rPr>
        <w:t>yandex</w:t>
      </w:r>
      <w:proofErr w:type="spellEnd"/>
      <w:r w:rsidR="006C5BFB" w:rsidRPr="005D442C">
        <w:rPr>
          <w:b/>
          <w:sz w:val="24"/>
          <w:szCs w:val="24"/>
        </w:rPr>
        <w:t>.</w:t>
      </w:r>
      <w:proofErr w:type="spellStart"/>
      <w:r w:rsidR="006C5BFB" w:rsidRPr="005D442C">
        <w:rPr>
          <w:b/>
          <w:sz w:val="24"/>
          <w:szCs w:val="24"/>
          <w:lang w:val="en-US"/>
        </w:rPr>
        <w:t>ru</w:t>
      </w:r>
      <w:proofErr w:type="spellEnd"/>
      <w:r w:rsidR="006C5BFB" w:rsidRPr="005D442C">
        <w:rPr>
          <w:sz w:val="24"/>
          <w:szCs w:val="24"/>
        </w:rPr>
        <w:t> (тема  письма</w:t>
      </w:r>
      <w:r w:rsidR="006F306C" w:rsidRPr="005D442C">
        <w:rPr>
          <w:sz w:val="24"/>
          <w:szCs w:val="24"/>
        </w:rPr>
        <w:t xml:space="preserve">  </w:t>
      </w:r>
      <w:r w:rsidR="006C5BFB" w:rsidRPr="005D442C">
        <w:rPr>
          <w:sz w:val="24"/>
          <w:szCs w:val="24"/>
        </w:rPr>
        <w:t>«Конкурс</w:t>
      </w:r>
      <w:r w:rsidR="00453BD6" w:rsidRPr="005D442C">
        <w:rPr>
          <w:sz w:val="24"/>
          <w:szCs w:val="24"/>
        </w:rPr>
        <w:t xml:space="preserve"> проектов</w:t>
      </w:r>
      <w:r w:rsidR="006C5BFB" w:rsidRPr="005D442C">
        <w:rPr>
          <w:sz w:val="24"/>
          <w:szCs w:val="24"/>
        </w:rPr>
        <w:t>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B544CF" w:rsidRDefault="00D12710" w:rsidP="00453BD6">
      <w:pPr>
        <w:tabs>
          <w:tab w:val="left" w:pos="1985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Результаты </w:t>
      </w:r>
      <w:proofErr w:type="gramStart"/>
      <w:r w:rsidRPr="00D1271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12710">
        <w:rPr>
          <w:rFonts w:ascii="Times New Roman" w:hAnsi="Times New Roman"/>
          <w:sz w:val="24"/>
          <w:szCs w:val="24"/>
        </w:rPr>
        <w:t xml:space="preserve"> деятельности</w:t>
      </w:r>
      <w:r w:rsidR="00B544CF"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 w:rsidR="00453BD6">
        <w:rPr>
          <w:rFonts w:ascii="Times New Roman" w:hAnsi="Times New Roman"/>
          <w:sz w:val="24"/>
          <w:szCs w:val="24"/>
        </w:rPr>
        <w:t xml:space="preserve"> </w:t>
      </w:r>
      <w:r w:rsidR="00453BD6">
        <w:rPr>
          <w:i/>
          <w:sz w:val="24"/>
          <w:szCs w:val="24"/>
        </w:rPr>
        <w:t xml:space="preserve"> </w:t>
      </w:r>
    </w:p>
    <w:p w:rsidR="00B9481C" w:rsidRDefault="00B9481C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ED2A4A">
        <w:rPr>
          <w:rFonts w:ascii="Times New Roman" w:hAnsi="Times New Roman"/>
          <w:sz w:val="24"/>
          <w:szCs w:val="24"/>
        </w:rPr>
        <w:t xml:space="preserve">10 </w:t>
      </w:r>
      <w:r w:rsidR="00453BD6">
        <w:rPr>
          <w:rFonts w:ascii="Times New Roman" w:hAnsi="Times New Roman"/>
          <w:sz w:val="24"/>
          <w:szCs w:val="24"/>
        </w:rPr>
        <w:t>мая</w:t>
      </w:r>
      <w:r w:rsidR="00ED2A4A">
        <w:rPr>
          <w:rFonts w:ascii="Times New Roman" w:hAnsi="Times New Roman"/>
          <w:sz w:val="24"/>
          <w:szCs w:val="24"/>
        </w:rPr>
        <w:t xml:space="preserve"> по </w:t>
      </w:r>
      <w:r w:rsidR="00453BD6">
        <w:rPr>
          <w:rFonts w:ascii="Times New Roman" w:hAnsi="Times New Roman"/>
          <w:sz w:val="24"/>
          <w:szCs w:val="24"/>
        </w:rPr>
        <w:t>8 июня</w:t>
      </w:r>
      <w:r w:rsidR="00A5674C">
        <w:rPr>
          <w:rFonts w:ascii="Times New Roman" w:hAnsi="Times New Roman"/>
          <w:sz w:val="24"/>
          <w:szCs w:val="24"/>
        </w:rPr>
        <w:t xml:space="preserve"> </w:t>
      </w:r>
      <w:r w:rsidR="0077261B">
        <w:rPr>
          <w:rFonts w:ascii="Times New Roman" w:hAnsi="Times New Roman"/>
          <w:sz w:val="24"/>
          <w:szCs w:val="24"/>
        </w:rPr>
        <w:t>201</w:t>
      </w:r>
      <w:r w:rsidR="00ED2A4A">
        <w:rPr>
          <w:rFonts w:ascii="Times New Roman" w:hAnsi="Times New Roman"/>
          <w:sz w:val="24"/>
          <w:szCs w:val="24"/>
        </w:rPr>
        <w:t>9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ED2A4A" w:rsidRPr="00C26920" w:rsidRDefault="00ED2A4A" w:rsidP="00ED2A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10.1.4.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10.0</w:t>
            </w:r>
            <w:r w:rsidR="00453BD6"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0</w:t>
            </w:r>
            <w:r w:rsidR="00453BD6"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.0</w:t>
            </w:r>
            <w:r w:rsidR="00453BD6"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 w:rsidR="00453BD6"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 w:rsidR="00453BD6"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ED2A4A" w:rsidRPr="00ED2A4A" w:rsidTr="00453BD6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453BD6" w:rsidP="0045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2A4A"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ED2A4A"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453BD6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453BD6" w:rsidRPr="00ED2A4A" w:rsidTr="00C944F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D6" w:rsidRDefault="00453BD6" w:rsidP="0045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11.06.2019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D6" w:rsidRPr="00ED2A4A" w:rsidRDefault="00453BD6" w:rsidP="00453BD6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ED2A4A" w:rsidRPr="00686594" w:rsidRDefault="00ED2A4A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3DA" w:rsidRDefault="009933DA" w:rsidP="009933DA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9933DA" w:rsidRPr="009933DA" w:rsidRDefault="009933DA" w:rsidP="009933DA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9933DA" w:rsidRPr="009933DA" w:rsidTr="00C944F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9933DA" w:rsidRPr="009933DA" w:rsidTr="009933DA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Должность, квалификационная </w:t>
            </w:r>
            <w:r w:rsidRPr="009933DA">
              <w:rPr>
                <w:rFonts w:ascii="Times New Roman" w:hAnsi="Times New Roman"/>
              </w:rPr>
              <w:lastRenderedPageBreak/>
              <w:t>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2D6B94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распространении опыта на Всероссийском уровне</w:t>
            </w:r>
            <w:r w:rsidR="006B115E">
              <w:rPr>
                <w:rFonts w:ascii="Times New Roman" w:hAnsi="Times New Roman"/>
              </w:rPr>
              <w:t xml:space="preserve"> (200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  <w:p w:rsidR="002D6B94" w:rsidRDefault="002D6B94" w:rsidP="002D6B94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</w:t>
            </w:r>
            <w:r w:rsidR="006B115E">
              <w:rPr>
                <w:rFonts w:ascii="Times New Roman" w:hAnsi="Times New Roman"/>
              </w:rPr>
              <w:t xml:space="preserve">(200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2D6B94" w:rsidRPr="009933DA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9933DA" w:rsidRDefault="009933DA" w:rsidP="009933DA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ED2A4A" w:rsidRPr="00453BD6" w:rsidRDefault="00ED2A4A" w:rsidP="00ED2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5D442C">
        <w:rPr>
          <w:rFonts w:ascii="Times New Roman" w:hAnsi="Times New Roman"/>
          <w:sz w:val="24"/>
          <w:szCs w:val="24"/>
        </w:rPr>
        <w:t xml:space="preserve">Все участники конкурса, независимо от статуса – победитель или участник – получают </w:t>
      </w:r>
      <w:r w:rsidR="00453BD6" w:rsidRPr="005D442C">
        <w:rPr>
          <w:rFonts w:ascii="Times New Roman" w:hAnsi="Times New Roman"/>
          <w:sz w:val="24"/>
          <w:szCs w:val="24"/>
        </w:rPr>
        <w:t xml:space="preserve">гарантированный подарок от спонсоров Компании </w:t>
      </w:r>
      <w:proofErr w:type="spellStart"/>
      <w:r w:rsidR="00453BD6" w:rsidRPr="005D442C">
        <w:rPr>
          <w:rFonts w:ascii="Times New Roman" w:hAnsi="Times New Roman"/>
          <w:sz w:val="24"/>
          <w:szCs w:val="24"/>
        </w:rPr>
        <w:t>ДЭНАС&amp;Фаберлик</w:t>
      </w:r>
      <w:proofErr w:type="spellEnd"/>
      <w:r w:rsidR="00453BD6" w:rsidRPr="005D442C">
        <w:rPr>
          <w:rFonts w:ascii="Times New Roman" w:hAnsi="Times New Roman"/>
          <w:sz w:val="24"/>
          <w:szCs w:val="24"/>
        </w:rPr>
        <w:t xml:space="preserve"> в Волгограде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ED2A4A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</w:p>
    <w:p w:rsidR="00ED2A4A" w:rsidRDefault="00ED2A4A" w:rsidP="00F95044">
      <w:pPr>
        <w:pStyle w:val="a6"/>
        <w:spacing w:line="240" w:lineRule="auto"/>
        <w:rPr>
          <w:szCs w:val="24"/>
        </w:rPr>
      </w:pPr>
    </w:p>
    <w:p w:rsidR="00F95044" w:rsidRDefault="00F95044" w:rsidP="00F95044">
      <w:pPr>
        <w:pStyle w:val="a6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5D442C">
        <w:rPr>
          <w:szCs w:val="24"/>
        </w:rPr>
        <w:t>55</w:t>
      </w:r>
      <w:r>
        <w:rPr>
          <w:szCs w:val="24"/>
        </w:rPr>
        <w:t>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5054DB" w:rsidRDefault="00F95044" w:rsidP="001010E6">
      <w:pPr>
        <w:pStyle w:val="a6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lastRenderedPageBreak/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p w:rsidR="005D442C" w:rsidRPr="005D442C" w:rsidRDefault="005D442C" w:rsidP="005D4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5D442C" w:rsidRDefault="005D442C" w:rsidP="001010E6">
      <w:pPr>
        <w:pStyle w:val="a6"/>
        <w:spacing w:line="240" w:lineRule="auto"/>
        <w:ind w:firstLine="0"/>
        <w:rPr>
          <w:b/>
          <w:sz w:val="28"/>
          <w:szCs w:val="28"/>
        </w:rPr>
      </w:pPr>
    </w:p>
    <w:sectPr w:rsidR="005D442C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65" w:rsidRDefault="008C4F65">
      <w:pPr>
        <w:spacing w:after="0" w:line="240" w:lineRule="auto"/>
      </w:pPr>
      <w:r>
        <w:separator/>
      </w:r>
    </w:p>
  </w:endnote>
  <w:endnote w:type="continuationSeparator" w:id="0">
    <w:p w:rsidR="008C4F65" w:rsidRDefault="008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7416A8">
    <w:pPr>
      <w:pStyle w:val="ab"/>
      <w:jc w:val="center"/>
    </w:pPr>
    <w:fldSimple w:instr=" PAGE   \* MERGEFORMAT ">
      <w:r w:rsidR="00DE0908">
        <w:rPr>
          <w:noProof/>
        </w:rPr>
        <w:t>1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65" w:rsidRDefault="008C4F65">
      <w:pPr>
        <w:spacing w:after="0" w:line="240" w:lineRule="auto"/>
      </w:pPr>
      <w:r>
        <w:separator/>
      </w:r>
    </w:p>
  </w:footnote>
  <w:footnote w:type="continuationSeparator" w:id="0">
    <w:p w:rsidR="008C4F65" w:rsidRDefault="008C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0E52C6"/>
    <w:rsid w:val="001010E6"/>
    <w:rsid w:val="00114029"/>
    <w:rsid w:val="00121752"/>
    <w:rsid w:val="00141075"/>
    <w:rsid w:val="00165300"/>
    <w:rsid w:val="0017093C"/>
    <w:rsid w:val="001760D3"/>
    <w:rsid w:val="001A6C12"/>
    <w:rsid w:val="001D59D4"/>
    <w:rsid w:val="001E0BBD"/>
    <w:rsid w:val="001F7688"/>
    <w:rsid w:val="001F7A59"/>
    <w:rsid w:val="002014EE"/>
    <w:rsid w:val="00202EB2"/>
    <w:rsid w:val="00221A91"/>
    <w:rsid w:val="00244189"/>
    <w:rsid w:val="002539B0"/>
    <w:rsid w:val="00266A66"/>
    <w:rsid w:val="002A714B"/>
    <w:rsid w:val="002D6B94"/>
    <w:rsid w:val="0032146A"/>
    <w:rsid w:val="00393EED"/>
    <w:rsid w:val="003B7F47"/>
    <w:rsid w:val="003C5B7F"/>
    <w:rsid w:val="003D5808"/>
    <w:rsid w:val="004218E1"/>
    <w:rsid w:val="00445E13"/>
    <w:rsid w:val="00453BD6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442C"/>
    <w:rsid w:val="005D54F0"/>
    <w:rsid w:val="00607B0C"/>
    <w:rsid w:val="00610A6A"/>
    <w:rsid w:val="00686594"/>
    <w:rsid w:val="006B115E"/>
    <w:rsid w:val="006B41C9"/>
    <w:rsid w:val="006C5BFB"/>
    <w:rsid w:val="006C6119"/>
    <w:rsid w:val="006F20C5"/>
    <w:rsid w:val="006F306C"/>
    <w:rsid w:val="00713151"/>
    <w:rsid w:val="00721556"/>
    <w:rsid w:val="007416A8"/>
    <w:rsid w:val="007618BB"/>
    <w:rsid w:val="0077261B"/>
    <w:rsid w:val="007D552E"/>
    <w:rsid w:val="00800074"/>
    <w:rsid w:val="00800101"/>
    <w:rsid w:val="008002C3"/>
    <w:rsid w:val="00816687"/>
    <w:rsid w:val="00843B36"/>
    <w:rsid w:val="00876939"/>
    <w:rsid w:val="0088542C"/>
    <w:rsid w:val="008C4F65"/>
    <w:rsid w:val="008E38D0"/>
    <w:rsid w:val="00904FCE"/>
    <w:rsid w:val="00930769"/>
    <w:rsid w:val="00985AF6"/>
    <w:rsid w:val="009933DA"/>
    <w:rsid w:val="009C0AFD"/>
    <w:rsid w:val="009C4CF7"/>
    <w:rsid w:val="009D6F17"/>
    <w:rsid w:val="009E0606"/>
    <w:rsid w:val="009E0E88"/>
    <w:rsid w:val="009E73AC"/>
    <w:rsid w:val="009F43EB"/>
    <w:rsid w:val="00A14FD1"/>
    <w:rsid w:val="00A5674C"/>
    <w:rsid w:val="00AA465D"/>
    <w:rsid w:val="00AB51D0"/>
    <w:rsid w:val="00B01A03"/>
    <w:rsid w:val="00B05819"/>
    <w:rsid w:val="00B544CF"/>
    <w:rsid w:val="00B75B83"/>
    <w:rsid w:val="00B9481C"/>
    <w:rsid w:val="00BA37B3"/>
    <w:rsid w:val="00BB5F3A"/>
    <w:rsid w:val="00BE622C"/>
    <w:rsid w:val="00BF2E3D"/>
    <w:rsid w:val="00C113FE"/>
    <w:rsid w:val="00C2616D"/>
    <w:rsid w:val="00C57F06"/>
    <w:rsid w:val="00C82F4E"/>
    <w:rsid w:val="00CE1F12"/>
    <w:rsid w:val="00D12710"/>
    <w:rsid w:val="00D56897"/>
    <w:rsid w:val="00D84242"/>
    <w:rsid w:val="00D96266"/>
    <w:rsid w:val="00DA3A06"/>
    <w:rsid w:val="00DB3580"/>
    <w:rsid w:val="00DC4652"/>
    <w:rsid w:val="00DC6B6B"/>
    <w:rsid w:val="00DD31DD"/>
    <w:rsid w:val="00DE0908"/>
    <w:rsid w:val="00DE41DB"/>
    <w:rsid w:val="00E75CBB"/>
    <w:rsid w:val="00E80748"/>
    <w:rsid w:val="00EB3705"/>
    <w:rsid w:val="00EC265A"/>
    <w:rsid w:val="00ED2A4A"/>
    <w:rsid w:val="00ED405A"/>
    <w:rsid w:val="00ED7546"/>
    <w:rsid w:val="00F5548C"/>
    <w:rsid w:val="00F95044"/>
    <w:rsid w:val="00F97B53"/>
    <w:rsid w:val="00FC440D"/>
    <w:rsid w:val="00FE104F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2012-03-12T17:04:00Z</cp:lastPrinted>
  <dcterms:created xsi:type="dcterms:W3CDTF">2019-05-13T18:15:00Z</dcterms:created>
  <dcterms:modified xsi:type="dcterms:W3CDTF">2019-05-13T18:15:00Z</dcterms:modified>
</cp:coreProperties>
</file>